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782" w:tblpY="1"/>
        <w:tblOverlap w:val="never"/>
        <w:tblW w:w="12528" w:type="dxa"/>
        <w:tblLayout w:type="fixed"/>
        <w:tblLook w:val="0000" w:firstRow="0" w:lastRow="0" w:firstColumn="0" w:lastColumn="0" w:noHBand="0" w:noVBand="0"/>
      </w:tblPr>
      <w:tblGrid>
        <w:gridCol w:w="3690"/>
        <w:gridCol w:w="2538"/>
        <w:gridCol w:w="2232"/>
        <w:gridCol w:w="4068"/>
      </w:tblGrid>
      <w:tr w:rsidR="007D3C6B" w14:paraId="76B6C5C4" w14:textId="77777777" w:rsidTr="00BD68EE">
        <w:trPr>
          <w:gridAfter w:val="2"/>
          <w:wAfter w:w="6300" w:type="dxa"/>
          <w:cantSplit/>
          <w:trHeight w:val="846"/>
        </w:trPr>
        <w:tc>
          <w:tcPr>
            <w:tcW w:w="6228" w:type="dxa"/>
            <w:gridSpan w:val="2"/>
            <w:vMerge w:val="restart"/>
          </w:tcPr>
          <w:p w14:paraId="58F9802B" w14:textId="77777777" w:rsidR="007D3C6B" w:rsidRDefault="007D3C6B" w:rsidP="00806665">
            <w:pPr>
              <w:pStyle w:val="Header"/>
              <w:spacing w:before="240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       </w:t>
            </w:r>
            <w:r w:rsidRPr="00D146EE">
              <w:rPr>
                <w:rFonts w:ascii="Univers (W1)" w:hAnsi="Univers (W1)"/>
                <w:highlight w:val="yellow"/>
              </w:rPr>
              <w:t>Company Logo</w:t>
            </w:r>
          </w:p>
        </w:tc>
      </w:tr>
      <w:tr w:rsidR="007D3C6B" w14:paraId="61257334" w14:textId="77777777" w:rsidTr="00633F10">
        <w:trPr>
          <w:gridAfter w:val="2"/>
          <w:wAfter w:w="6300" w:type="dxa"/>
          <w:cantSplit/>
          <w:trHeight w:val="597"/>
        </w:trPr>
        <w:tc>
          <w:tcPr>
            <w:tcW w:w="6228" w:type="dxa"/>
            <w:gridSpan w:val="2"/>
            <w:vMerge/>
          </w:tcPr>
          <w:p w14:paraId="5CCDE05F" w14:textId="77777777" w:rsidR="007D3C6B" w:rsidRDefault="007D3C6B" w:rsidP="009B1CE5">
            <w:pPr>
              <w:pStyle w:val="Header"/>
              <w:rPr>
                <w:rFonts w:ascii="Univers (W1)" w:hAnsi="Univers (W1)"/>
              </w:rPr>
            </w:pPr>
          </w:p>
        </w:tc>
      </w:tr>
      <w:tr w:rsidR="00CB4835" w14:paraId="7CE1EAB3" w14:textId="77777777" w:rsidTr="00BD68EE">
        <w:trPr>
          <w:cantSplit/>
          <w:trHeight w:val="1133"/>
        </w:trPr>
        <w:tc>
          <w:tcPr>
            <w:tcW w:w="3690" w:type="dxa"/>
          </w:tcPr>
          <w:p w14:paraId="74C171CC" w14:textId="77777777" w:rsidR="00CB4835" w:rsidRPr="00D146EE" w:rsidRDefault="00CB4835" w:rsidP="009B1CE5">
            <w:pPr>
              <w:pStyle w:val="Header"/>
              <w:ind w:left="1062"/>
              <w:rPr>
                <w:rFonts w:ascii="Univers (W1)" w:hAnsi="Univers (W1)"/>
                <w:sz w:val="18"/>
                <w:highlight w:val="yellow"/>
              </w:rPr>
            </w:pPr>
            <w:r w:rsidRPr="00D146EE">
              <w:rPr>
                <w:rFonts w:ascii="Univers (W1)" w:hAnsi="Univers (W1)"/>
                <w:noProof/>
                <w:sz w:val="18"/>
                <w:highlight w:val="yellow"/>
              </w:rPr>
              <w:t>Company</w:t>
            </w:r>
          </w:p>
          <w:p w14:paraId="3C378C21" w14:textId="77777777" w:rsidR="00CB4835" w:rsidRPr="00D146EE" w:rsidRDefault="00CB4835" w:rsidP="009B1CE5">
            <w:pPr>
              <w:pStyle w:val="Header"/>
              <w:ind w:left="1062"/>
              <w:rPr>
                <w:rFonts w:ascii="Univers (W1)" w:hAnsi="Univers (W1)"/>
                <w:sz w:val="18"/>
                <w:highlight w:val="yellow"/>
              </w:rPr>
            </w:pPr>
            <w:r w:rsidRPr="00D146EE">
              <w:rPr>
                <w:rFonts w:ascii="Univers (W1)" w:hAnsi="Univers (W1)"/>
                <w:sz w:val="18"/>
                <w:highlight w:val="yellow"/>
              </w:rPr>
              <w:t>Address</w:t>
            </w:r>
          </w:p>
          <w:p w14:paraId="3A07B2EB" w14:textId="77777777" w:rsidR="00CB4835" w:rsidRDefault="00CB4835" w:rsidP="009B1CE5">
            <w:pPr>
              <w:pStyle w:val="Header"/>
              <w:ind w:left="1062"/>
              <w:rPr>
                <w:rFonts w:ascii="Univers (W1)" w:hAnsi="Univers (W1)"/>
              </w:rPr>
            </w:pPr>
            <w:r w:rsidRPr="00D146EE">
              <w:rPr>
                <w:rFonts w:ascii="Univers (W1)" w:hAnsi="Univers (W1)"/>
                <w:sz w:val="18"/>
                <w:highlight w:val="yellow"/>
              </w:rPr>
              <w:t>Web address</w:t>
            </w:r>
          </w:p>
          <w:p w14:paraId="5467AE8C" w14:textId="77777777" w:rsidR="00CB4835" w:rsidRDefault="001E239F" w:rsidP="009B1CE5">
            <w:pPr>
              <w:pStyle w:val="Head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64170E" wp14:editId="4CD5600F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223520</wp:posOffset>
                      </wp:positionV>
                      <wp:extent cx="6370320" cy="0"/>
                      <wp:effectExtent l="12700" t="13970" r="825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5D0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4.15pt;margin-top:17.6pt;width:50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770" w:type="dxa"/>
            <w:gridSpan w:val="2"/>
          </w:tcPr>
          <w:p w14:paraId="28A00E26" w14:textId="77777777" w:rsidR="00CB4835" w:rsidRDefault="00CB4835" w:rsidP="009B1CE5">
            <w:pPr>
              <w:pStyle w:val="Header"/>
              <w:ind w:right="-108"/>
              <w:rPr>
                <w:rFonts w:ascii="Univers (W1)" w:hAnsi="Univers (W1)"/>
              </w:rPr>
            </w:pPr>
          </w:p>
          <w:p w14:paraId="1F4B80C1" w14:textId="77777777" w:rsidR="00CB4835" w:rsidRDefault="00CB4835" w:rsidP="009B1CE5">
            <w:pPr>
              <w:pStyle w:val="Header"/>
              <w:ind w:right="-108"/>
              <w:jc w:val="center"/>
            </w:pPr>
            <w:r w:rsidRPr="00201367">
              <w:rPr>
                <w:b/>
                <w:sz w:val="56"/>
                <w:szCs w:val="56"/>
              </w:rPr>
              <w:t>NEWS RELEASE</w:t>
            </w:r>
          </w:p>
        </w:tc>
        <w:tc>
          <w:tcPr>
            <w:tcW w:w="4068" w:type="dxa"/>
          </w:tcPr>
          <w:p w14:paraId="2E972164" w14:textId="77777777" w:rsidR="00CB4835" w:rsidRPr="00D146EE" w:rsidRDefault="00CB4835" w:rsidP="009B1CE5">
            <w:pPr>
              <w:pStyle w:val="Header"/>
              <w:ind w:left="252" w:right="1170"/>
              <w:jc w:val="right"/>
              <w:rPr>
                <w:rFonts w:ascii="Univers (W1)" w:hAnsi="Univers (W1)"/>
                <w:bCs/>
                <w:sz w:val="18"/>
                <w:highlight w:val="yellow"/>
              </w:rPr>
            </w:pPr>
            <w:r w:rsidRPr="00D146EE">
              <w:rPr>
                <w:rFonts w:ascii="Univers (W1)" w:hAnsi="Univers (W1)"/>
                <w:bCs/>
                <w:sz w:val="18"/>
                <w:highlight w:val="yellow"/>
              </w:rPr>
              <w:t>Contact:</w:t>
            </w:r>
            <w:r w:rsidRPr="00D146EE">
              <w:rPr>
                <w:rFonts w:ascii="Univers (W1)" w:hAnsi="Univers (W1)"/>
                <w:b/>
                <w:sz w:val="18"/>
                <w:highlight w:val="yellow"/>
              </w:rPr>
              <w:t xml:space="preserve"> </w:t>
            </w:r>
          </w:p>
          <w:p w14:paraId="76E8B26C" w14:textId="77777777" w:rsidR="00CB4835" w:rsidRPr="00D146EE" w:rsidRDefault="00CB4835" w:rsidP="009B1CE5">
            <w:pPr>
              <w:pStyle w:val="Header"/>
              <w:ind w:left="252" w:right="1170"/>
              <w:jc w:val="right"/>
              <w:rPr>
                <w:rFonts w:ascii="Univers (W1)" w:hAnsi="Univers (W1)"/>
                <w:bCs/>
                <w:sz w:val="18"/>
                <w:highlight w:val="yellow"/>
              </w:rPr>
            </w:pPr>
            <w:r w:rsidRPr="00D146EE">
              <w:rPr>
                <w:rFonts w:ascii="Univers (W1)" w:hAnsi="Univers (W1)"/>
                <w:bCs/>
                <w:sz w:val="18"/>
                <w:highlight w:val="yellow"/>
              </w:rPr>
              <w:t xml:space="preserve">Telephone: </w:t>
            </w:r>
          </w:p>
          <w:p w14:paraId="5811C2CF" w14:textId="77777777" w:rsidR="00CB4835" w:rsidRPr="004665A9" w:rsidRDefault="00CB4835" w:rsidP="009B1CE5">
            <w:pPr>
              <w:pStyle w:val="Header"/>
              <w:ind w:left="252" w:right="1170"/>
              <w:jc w:val="right"/>
              <w:rPr>
                <w:rFonts w:ascii="Univers (W1)" w:hAnsi="Univers (W1)"/>
                <w:bCs/>
                <w:sz w:val="18"/>
              </w:rPr>
            </w:pPr>
            <w:r w:rsidRPr="00D146EE">
              <w:rPr>
                <w:rFonts w:ascii="Univers (W1)" w:hAnsi="Univers (W1)"/>
                <w:bCs/>
                <w:sz w:val="18"/>
                <w:highlight w:val="yellow"/>
              </w:rPr>
              <w:t>Email:</w:t>
            </w:r>
          </w:p>
          <w:p w14:paraId="3C6B567E" w14:textId="77777777" w:rsidR="00CB4835" w:rsidRDefault="00CB4835" w:rsidP="009B1CE5">
            <w:pPr>
              <w:pStyle w:val="Header"/>
              <w:tabs>
                <w:tab w:val="clear" w:pos="4320"/>
                <w:tab w:val="clear" w:pos="8640"/>
              </w:tabs>
              <w:ind w:left="252" w:right="540"/>
              <w:jc w:val="right"/>
              <w:rPr>
                <w:rFonts w:ascii="Univers (W1)" w:hAnsi="Univers (W1)"/>
              </w:rPr>
            </w:pPr>
            <w:r w:rsidRPr="004665A9">
              <w:rPr>
                <w:rFonts w:ascii="Univers (W1)" w:hAnsi="Univers (W1)"/>
                <w:b/>
                <w:sz w:val="18"/>
              </w:rPr>
              <w:t xml:space="preserve"> </w:t>
            </w:r>
          </w:p>
        </w:tc>
      </w:tr>
    </w:tbl>
    <w:p w14:paraId="01F5C772" w14:textId="77777777" w:rsidR="00F00B7F" w:rsidRDefault="00CB4835" w:rsidP="00F74D61">
      <w:pPr>
        <w:ind w:left="-810" w:right="-90"/>
        <w:jc w:val="center"/>
        <w:rPr>
          <w:rFonts w:ascii="Arial" w:hAnsi="Arial" w:cs="Arial"/>
          <w:b/>
          <w:sz w:val="28"/>
          <w:szCs w:val="28"/>
        </w:rPr>
      </w:pPr>
      <w:r w:rsidRPr="00FC3C23">
        <w:rPr>
          <w:rFonts w:ascii="Arial" w:hAnsi="Arial" w:cs="Arial"/>
          <w:b/>
          <w:sz w:val="28"/>
          <w:szCs w:val="28"/>
          <w:highlight w:val="cyan"/>
        </w:rPr>
        <w:t>COMPANY NAME</w:t>
      </w:r>
      <w:r w:rsidRPr="00FC3C23">
        <w:rPr>
          <w:rFonts w:ascii="Arial" w:hAnsi="Arial" w:cs="Arial"/>
          <w:b/>
          <w:sz w:val="28"/>
          <w:szCs w:val="28"/>
        </w:rPr>
        <w:t xml:space="preserve"> Recognized fo</w:t>
      </w:r>
      <w:r>
        <w:rPr>
          <w:rFonts w:ascii="Arial" w:hAnsi="Arial" w:cs="Arial"/>
          <w:b/>
          <w:sz w:val="28"/>
          <w:szCs w:val="28"/>
        </w:rPr>
        <w:t>r Contribution to the</w:t>
      </w:r>
      <w:r w:rsidRPr="00FC3C23">
        <w:rPr>
          <w:rFonts w:ascii="Arial" w:hAnsi="Arial" w:cs="Arial"/>
          <w:b/>
          <w:sz w:val="28"/>
          <w:szCs w:val="28"/>
        </w:rPr>
        <w:t xml:space="preserve"> </w:t>
      </w:r>
    </w:p>
    <w:p w14:paraId="4CF121FA" w14:textId="77777777" w:rsidR="00CB4835" w:rsidRPr="00FC3C23" w:rsidRDefault="00CB4835" w:rsidP="00F74D61">
      <w:pPr>
        <w:ind w:left="-810" w:right="-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to the Armed Forces</w:t>
      </w:r>
      <w:r w:rsidRPr="00FC3C23">
        <w:rPr>
          <w:rFonts w:ascii="Arial" w:hAnsi="Arial" w:cs="Arial"/>
          <w:b/>
          <w:sz w:val="28"/>
          <w:szCs w:val="28"/>
        </w:rPr>
        <w:t xml:space="preserve"> Giving Program </w:t>
      </w:r>
    </w:p>
    <w:p w14:paraId="59B14B30" w14:textId="77777777" w:rsidR="00CB4835" w:rsidRPr="00FC3C23" w:rsidRDefault="00CB4835" w:rsidP="00F74D61">
      <w:pPr>
        <w:ind w:left="-810" w:right="-90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Assistance Critical in</w:t>
      </w:r>
      <w:r w:rsidRPr="00FC3C23">
        <w:rPr>
          <w:rFonts w:ascii="Arial" w:hAnsi="Arial" w:cs="Arial"/>
          <w:i/>
          <w:sz w:val="22"/>
          <w:szCs w:val="22"/>
        </w:rPr>
        <w:t xml:space="preserve"> Enabling Red Cross </w:t>
      </w:r>
      <w:r>
        <w:rPr>
          <w:rFonts w:ascii="Arial" w:hAnsi="Arial" w:cs="Arial"/>
          <w:i/>
          <w:sz w:val="22"/>
          <w:szCs w:val="22"/>
        </w:rPr>
        <w:t>Support for the Armed Forces</w:t>
      </w:r>
      <w:r w:rsidRPr="00FC3C23">
        <w:rPr>
          <w:rFonts w:ascii="Arial" w:hAnsi="Arial" w:cs="Arial"/>
          <w:i/>
          <w:sz w:val="22"/>
          <w:szCs w:val="22"/>
        </w:rPr>
        <w:t xml:space="preserve"> </w:t>
      </w:r>
    </w:p>
    <w:p w14:paraId="019E5957" w14:textId="77777777" w:rsidR="00CB4835" w:rsidRPr="00B07515" w:rsidRDefault="00CB4835" w:rsidP="00EE4C34">
      <w:pPr>
        <w:ind w:left="-810" w:right="-90"/>
        <w:rPr>
          <w:rFonts w:ascii="Arial" w:hAnsi="Arial" w:cs="Arial"/>
          <w:i/>
          <w:iCs/>
        </w:rPr>
      </w:pPr>
    </w:p>
    <w:p w14:paraId="32D61D79" w14:textId="6258F8CE" w:rsidR="00CB4835" w:rsidRDefault="00CB4835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>CITY</w:t>
      </w:r>
      <w:r w:rsidRPr="00B07515">
        <w:rPr>
          <w:rFonts w:ascii="Arial" w:hAnsi="Arial" w:cs="Arial"/>
          <w:b/>
          <w:highlight w:val="yellow"/>
        </w:rPr>
        <w:t>, Day, Month X, 2</w:t>
      </w:r>
      <w:r w:rsidRPr="00D21206">
        <w:rPr>
          <w:rFonts w:ascii="Arial" w:hAnsi="Arial" w:cs="Arial"/>
          <w:b/>
          <w:highlight w:val="yellow"/>
        </w:rPr>
        <w:t>0</w:t>
      </w:r>
      <w:r w:rsidR="009F3F54" w:rsidRPr="00D21206">
        <w:rPr>
          <w:rFonts w:ascii="Arial" w:hAnsi="Arial" w:cs="Arial"/>
          <w:b/>
          <w:highlight w:val="yellow"/>
        </w:rPr>
        <w:t>2</w:t>
      </w:r>
      <w:r w:rsidR="008C749E">
        <w:rPr>
          <w:rFonts w:ascii="Arial" w:hAnsi="Arial" w:cs="Arial"/>
          <w:b/>
          <w:highlight w:val="yellow"/>
        </w:rPr>
        <w:t>2</w:t>
      </w:r>
      <w:r w:rsidRPr="00B07515">
        <w:rPr>
          <w:rFonts w:ascii="Arial" w:hAnsi="Arial" w:cs="Arial"/>
          <w:b/>
        </w:rPr>
        <w:t xml:space="preserve"> </w:t>
      </w:r>
      <w:r w:rsidRPr="00B07515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 xml:space="preserve">Today the American Red Cross is recognizing </w:t>
      </w:r>
      <w:r w:rsidRPr="00E54F32">
        <w:rPr>
          <w:rFonts w:ascii="Arial" w:hAnsi="Arial" w:cs="Arial"/>
          <w:highlight w:val="cyan"/>
        </w:rPr>
        <w:t>[insert partner name]</w:t>
      </w:r>
      <w:r>
        <w:rPr>
          <w:rFonts w:ascii="Arial" w:hAnsi="Arial" w:cs="Arial"/>
        </w:rPr>
        <w:t xml:space="preserve"> for </w:t>
      </w:r>
      <w:r w:rsidR="002A6387">
        <w:rPr>
          <w:rFonts w:ascii="Arial" w:hAnsi="Arial" w:cs="Arial"/>
        </w:rPr>
        <w:t xml:space="preserve">its annual commitment of </w:t>
      </w:r>
      <w:r w:rsidR="002A6387" w:rsidRPr="002A6387">
        <w:rPr>
          <w:rFonts w:ascii="Arial" w:hAnsi="Arial" w:cs="Arial"/>
          <w:highlight w:val="yellow"/>
        </w:rPr>
        <w:t>[INSERT AMOUNT]</w:t>
      </w:r>
      <w:r>
        <w:rPr>
          <w:rFonts w:ascii="Arial" w:hAnsi="Arial" w:cs="Arial"/>
        </w:rPr>
        <w:t xml:space="preserve"> </w:t>
      </w:r>
      <w:r w:rsidR="002A638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="002A6387">
        <w:rPr>
          <w:rFonts w:ascii="Arial" w:hAnsi="Arial" w:cs="Arial"/>
        </w:rPr>
        <w:t xml:space="preserve"> Red Cross</w:t>
      </w:r>
      <w:r>
        <w:rPr>
          <w:rFonts w:ascii="Arial" w:hAnsi="Arial" w:cs="Arial"/>
        </w:rPr>
        <w:t xml:space="preserve"> Service to the Armed Forces</w:t>
      </w:r>
      <w:r w:rsidR="002A6387">
        <w:rPr>
          <w:rFonts w:ascii="Arial" w:hAnsi="Arial" w:cs="Arial"/>
        </w:rPr>
        <w:t xml:space="preserve"> Giving Program</w:t>
      </w:r>
      <w:r>
        <w:rPr>
          <w:rFonts w:ascii="Arial" w:hAnsi="Arial" w:cs="Arial"/>
        </w:rPr>
        <w:t>.</w:t>
      </w:r>
      <w:r w:rsidR="002A6387">
        <w:rPr>
          <w:rFonts w:ascii="Arial" w:hAnsi="Arial" w:cs="Arial"/>
        </w:rPr>
        <w:t xml:space="preserve"> Members of the program enable the Red Cross to </w:t>
      </w:r>
      <w:r>
        <w:rPr>
          <w:rFonts w:ascii="Arial" w:hAnsi="Arial" w:cs="Arial"/>
        </w:rPr>
        <w:t>provide emergency communications,</w:t>
      </w:r>
      <w:r w:rsidR="007020A3">
        <w:rPr>
          <w:rFonts w:ascii="Arial" w:hAnsi="Arial" w:cs="Arial"/>
        </w:rPr>
        <w:t xml:space="preserve"> critical community services</w:t>
      </w:r>
      <w:r>
        <w:rPr>
          <w:rFonts w:ascii="Arial" w:hAnsi="Arial" w:cs="Arial"/>
        </w:rPr>
        <w:t xml:space="preserve"> and hospital</w:t>
      </w:r>
      <w:r w:rsidR="007020A3">
        <w:rPr>
          <w:rFonts w:ascii="Arial" w:hAnsi="Arial" w:cs="Arial"/>
        </w:rPr>
        <w:t xml:space="preserve"> and mental wellness</w:t>
      </w:r>
      <w:r>
        <w:rPr>
          <w:rFonts w:ascii="Arial" w:hAnsi="Arial" w:cs="Arial"/>
        </w:rPr>
        <w:t xml:space="preserve"> support to service members, veterans</w:t>
      </w:r>
      <w:r w:rsidR="007020A3">
        <w:rPr>
          <w:rFonts w:ascii="Arial" w:hAnsi="Arial" w:cs="Arial"/>
        </w:rPr>
        <w:t>,</w:t>
      </w:r>
      <w:r w:rsidR="00E24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families</w:t>
      </w:r>
      <w:r w:rsidR="007020A3">
        <w:rPr>
          <w:rFonts w:ascii="Arial" w:hAnsi="Arial" w:cs="Arial"/>
        </w:rPr>
        <w:t xml:space="preserve"> and caregivers.</w:t>
      </w:r>
    </w:p>
    <w:p w14:paraId="5B356DA5" w14:textId="77777777" w:rsidR="00CB4835" w:rsidRDefault="00CB4835" w:rsidP="00C3740D">
      <w:pPr>
        <w:ind w:left="-810" w:right="-90"/>
        <w:jc w:val="both"/>
        <w:rPr>
          <w:rFonts w:ascii="Arial" w:hAnsi="Arial" w:cs="Arial"/>
          <w:bCs/>
        </w:rPr>
      </w:pPr>
    </w:p>
    <w:p w14:paraId="2BBC2B3F" w14:textId="0A4DD28D" w:rsidR="00CB4835" w:rsidRPr="00B07515" w:rsidRDefault="00A865A5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Each year, the Red Cross provides </w:t>
      </w:r>
      <w:r w:rsidR="009F3F54">
        <w:rPr>
          <w:rFonts w:ascii="Arial" w:hAnsi="Arial" w:cs="Arial"/>
          <w:bCs/>
        </w:rPr>
        <w:t xml:space="preserve">over </w:t>
      </w:r>
      <w:r w:rsidR="00341086">
        <w:rPr>
          <w:rFonts w:ascii="Arial" w:hAnsi="Arial" w:cs="Arial"/>
          <w:bCs/>
        </w:rPr>
        <w:t>5</w:t>
      </w:r>
      <w:r w:rsidR="00814D09">
        <w:rPr>
          <w:rFonts w:ascii="Arial" w:hAnsi="Arial" w:cs="Arial"/>
          <w:bCs/>
        </w:rPr>
        <w:t>46</w:t>
      </w:r>
      <w:r>
        <w:rPr>
          <w:rFonts w:ascii="Arial" w:hAnsi="Arial" w:cs="Arial"/>
          <w:bCs/>
        </w:rPr>
        <w:t xml:space="preserve">,000 </w:t>
      </w:r>
      <w:r w:rsidR="003D2DB0">
        <w:rPr>
          <w:rFonts w:ascii="Arial" w:hAnsi="Arial" w:cs="Arial"/>
          <w:bCs/>
        </w:rPr>
        <w:t xml:space="preserve">emergency and critical community </w:t>
      </w:r>
      <w:r>
        <w:rPr>
          <w:rFonts w:ascii="Arial" w:hAnsi="Arial" w:cs="Arial"/>
          <w:bCs/>
        </w:rPr>
        <w:t xml:space="preserve">services to </w:t>
      </w:r>
      <w:r w:rsidR="00023A72">
        <w:rPr>
          <w:rFonts w:ascii="Arial" w:hAnsi="Arial" w:cs="Arial"/>
          <w:bCs/>
        </w:rPr>
        <w:t xml:space="preserve">military and veteran families </w:t>
      </w:r>
      <w:r>
        <w:rPr>
          <w:rFonts w:ascii="Arial" w:hAnsi="Arial" w:cs="Arial"/>
          <w:bCs/>
        </w:rPr>
        <w:t xml:space="preserve">through its </w:t>
      </w:r>
      <w:r w:rsidR="00CB4835">
        <w:rPr>
          <w:rFonts w:ascii="Arial" w:hAnsi="Arial" w:cs="Arial"/>
          <w:bCs/>
        </w:rPr>
        <w:t>Service to Armed Forces program</w:t>
      </w:r>
      <w:r w:rsidR="00D21206">
        <w:rPr>
          <w:rFonts w:ascii="Arial" w:hAnsi="Arial" w:cs="Arial"/>
          <w:bCs/>
        </w:rPr>
        <w:t>s</w:t>
      </w:r>
      <w:r w:rsidR="00CB4835">
        <w:rPr>
          <w:rFonts w:ascii="Arial" w:hAnsi="Arial" w:cs="Arial"/>
          <w:bCs/>
        </w:rPr>
        <w:t>. T</w:t>
      </w:r>
      <w:r w:rsidR="00CB4835">
        <w:rPr>
          <w:rFonts w:ascii="Arial" w:hAnsi="Arial" w:cs="Arial"/>
        </w:rPr>
        <w:t xml:space="preserve">hanks to the generous donors that support the Service to the Armed Forces Giving Program, the Red Cross continues to care for </w:t>
      </w:r>
      <w:r w:rsidR="00E55FF3">
        <w:rPr>
          <w:rFonts w:ascii="Arial" w:hAnsi="Arial" w:cs="Arial"/>
        </w:rPr>
        <w:t>U.S. m</w:t>
      </w:r>
      <w:r w:rsidR="00023A72">
        <w:rPr>
          <w:rFonts w:ascii="Arial" w:hAnsi="Arial" w:cs="Arial"/>
        </w:rPr>
        <w:t xml:space="preserve">ilitary and veteran communities </w:t>
      </w:r>
      <w:r w:rsidR="00023A72" w:rsidRPr="00D21206">
        <w:rPr>
          <w:rFonts w:ascii="Arial" w:hAnsi="Arial" w:cs="Arial"/>
        </w:rPr>
        <w:t>from the time a service member takes the oath to navigating</w:t>
      </w:r>
      <w:r w:rsidR="00E55FF3" w:rsidRPr="00D21206">
        <w:rPr>
          <w:rFonts w:ascii="Arial" w:hAnsi="Arial" w:cs="Arial"/>
        </w:rPr>
        <w:t xml:space="preserve"> their</w:t>
      </w:r>
      <w:r w:rsidR="00023A72" w:rsidRPr="00D21206">
        <w:rPr>
          <w:rFonts w:ascii="Arial" w:hAnsi="Arial" w:cs="Arial"/>
        </w:rPr>
        <w:t xml:space="preserve"> life as a veteran.</w:t>
      </w:r>
    </w:p>
    <w:p w14:paraId="6CD3D904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16395316" w14:textId="115E1AB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  <w:r w:rsidRPr="00B07515">
        <w:rPr>
          <w:rFonts w:ascii="Arial" w:hAnsi="Arial" w:cs="Arial"/>
        </w:rPr>
        <w:t xml:space="preserve">“Thanks to the generosity of our </w:t>
      </w:r>
      <w:r>
        <w:rPr>
          <w:rFonts w:ascii="Arial" w:hAnsi="Arial" w:cs="Arial"/>
        </w:rPr>
        <w:t>S</w:t>
      </w:r>
      <w:r w:rsidR="002A6387">
        <w:rPr>
          <w:rFonts w:ascii="Arial" w:hAnsi="Arial" w:cs="Arial"/>
        </w:rPr>
        <w:t>ervice to the Armed Forces</w:t>
      </w:r>
      <w:r>
        <w:rPr>
          <w:rFonts w:ascii="Arial" w:hAnsi="Arial" w:cs="Arial"/>
        </w:rPr>
        <w:t xml:space="preserve"> </w:t>
      </w:r>
      <w:r w:rsidRPr="00B07515">
        <w:rPr>
          <w:rFonts w:ascii="Arial" w:hAnsi="Arial" w:cs="Arial"/>
        </w:rPr>
        <w:t xml:space="preserve">Giving Program members, we are able to </w:t>
      </w:r>
      <w:r>
        <w:rPr>
          <w:rFonts w:ascii="Arial" w:hAnsi="Arial" w:cs="Arial"/>
        </w:rPr>
        <w:t xml:space="preserve">provide the full spectrum of </w:t>
      </w:r>
      <w:r w:rsidR="00304DE8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for our </w:t>
      </w:r>
      <w:r w:rsidR="002A6387">
        <w:rPr>
          <w:rFonts w:ascii="Arial" w:hAnsi="Arial" w:cs="Arial"/>
        </w:rPr>
        <w:t>service members</w:t>
      </w:r>
      <w:r w:rsidR="00E55FF3">
        <w:rPr>
          <w:rFonts w:ascii="Arial" w:hAnsi="Arial" w:cs="Arial"/>
        </w:rPr>
        <w:t>, veterans</w:t>
      </w:r>
      <w:r w:rsidR="00304DE8">
        <w:rPr>
          <w:rFonts w:ascii="Arial" w:hAnsi="Arial" w:cs="Arial"/>
        </w:rPr>
        <w:t xml:space="preserve"> and their families</w:t>
      </w:r>
      <w:r w:rsidRPr="00EE27B1">
        <w:rPr>
          <w:rFonts w:ascii="Arial" w:hAnsi="Arial" w:cs="Arial"/>
        </w:rPr>
        <w:t xml:space="preserve">, said </w:t>
      </w:r>
      <w:r w:rsidRPr="00DD6E3D">
        <w:rPr>
          <w:rFonts w:ascii="Arial" w:hAnsi="Arial" w:cs="Arial"/>
          <w:highlight w:val="yellow"/>
        </w:rPr>
        <w:t>[insert name of local Red Cross representative].</w:t>
      </w:r>
      <w:r w:rsidRPr="00B07515">
        <w:rPr>
          <w:rFonts w:ascii="Arial" w:hAnsi="Arial" w:cs="Arial"/>
        </w:rPr>
        <w:t> “These funds, coupled with the support of the American p</w:t>
      </w:r>
      <w:r>
        <w:rPr>
          <w:rFonts w:ascii="Arial" w:hAnsi="Arial" w:cs="Arial"/>
        </w:rPr>
        <w:t>eople</w:t>
      </w:r>
      <w:r w:rsidRPr="00B07515">
        <w:rPr>
          <w:rFonts w:ascii="Arial" w:hAnsi="Arial" w:cs="Arial"/>
        </w:rPr>
        <w:t xml:space="preserve">, are critical </w:t>
      </w:r>
      <w:r>
        <w:rPr>
          <w:rFonts w:ascii="Arial" w:hAnsi="Arial" w:cs="Arial"/>
        </w:rPr>
        <w:t>in ensuring a resilient military community</w:t>
      </w:r>
      <w:r w:rsidRPr="00B07515">
        <w:rPr>
          <w:rFonts w:ascii="Arial" w:hAnsi="Arial" w:cs="Arial"/>
        </w:rPr>
        <w:t>.”</w:t>
      </w:r>
    </w:p>
    <w:p w14:paraId="3035245F" w14:textId="77777777" w:rsidR="00CB4835" w:rsidRDefault="00CB4835" w:rsidP="00C3740D">
      <w:pPr>
        <w:tabs>
          <w:tab w:val="left" w:pos="3375"/>
        </w:tabs>
        <w:ind w:left="-810" w:right="-90"/>
        <w:jc w:val="both"/>
        <w:rPr>
          <w:rFonts w:ascii="Arial" w:hAnsi="Arial" w:cs="Arial"/>
        </w:rPr>
      </w:pPr>
    </w:p>
    <w:p w14:paraId="01C11EE4" w14:textId="77777777" w:rsidR="00CB4835" w:rsidRDefault="00CB4835" w:rsidP="00C3740D">
      <w:pPr>
        <w:tabs>
          <w:tab w:val="left" w:pos="3375"/>
        </w:tabs>
        <w:ind w:left="-810" w:right="-90"/>
        <w:jc w:val="both"/>
        <w:rPr>
          <w:rFonts w:cs="Akzidenz-Grotesk Std Regular"/>
          <w:color w:val="6C6E70"/>
        </w:rPr>
      </w:pPr>
      <w:r w:rsidRPr="00F2081F">
        <w:rPr>
          <w:rFonts w:ascii="Arial" w:hAnsi="Arial" w:cs="Arial"/>
        </w:rPr>
        <w:t xml:space="preserve">For </w:t>
      </w:r>
      <w:r w:rsidR="00F22984">
        <w:rPr>
          <w:rFonts w:ascii="Arial" w:hAnsi="Arial" w:cs="Arial"/>
        </w:rPr>
        <w:t>nearly 140</w:t>
      </w:r>
      <w:r w:rsidRPr="00F2081F">
        <w:rPr>
          <w:rFonts w:ascii="Arial" w:hAnsi="Arial" w:cs="Arial"/>
        </w:rPr>
        <w:t xml:space="preserve"> years, the Red Cross has provided comfort and support to members of the United States military. Last year alone, investment in the Service to the Armed Forces:</w:t>
      </w:r>
    </w:p>
    <w:p w14:paraId="6B7FDC4D" w14:textId="41C44C0C" w:rsidR="008819CA" w:rsidRPr="00D21206" w:rsidRDefault="008819CA" w:rsidP="00C374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  <w:color w:val="6C6E70"/>
        </w:rPr>
      </w:pPr>
      <w:r w:rsidRPr="00D21206">
        <w:rPr>
          <w:rFonts w:ascii="Arial" w:hAnsi="Arial" w:cs="Arial"/>
        </w:rPr>
        <w:t xml:space="preserve">Provided more than </w:t>
      </w:r>
      <w:r w:rsidR="00D21206">
        <w:rPr>
          <w:rFonts w:ascii="Arial" w:hAnsi="Arial" w:cs="Arial"/>
        </w:rPr>
        <w:t>3</w:t>
      </w:r>
      <w:r w:rsidR="00B62EBF">
        <w:rPr>
          <w:rFonts w:ascii="Arial" w:hAnsi="Arial" w:cs="Arial"/>
        </w:rPr>
        <w:t>32</w:t>
      </w:r>
      <w:r w:rsidRPr="00D21206">
        <w:rPr>
          <w:rFonts w:ascii="Arial" w:hAnsi="Arial" w:cs="Arial"/>
        </w:rPr>
        <w:t xml:space="preserve">,000 emergency communication services to </w:t>
      </w:r>
      <w:r w:rsidR="00B62EBF">
        <w:rPr>
          <w:rFonts w:ascii="Arial" w:hAnsi="Arial" w:cs="Arial"/>
        </w:rPr>
        <w:t>87</w:t>
      </w:r>
      <w:r w:rsidRPr="00D21206">
        <w:rPr>
          <w:rFonts w:ascii="Arial" w:hAnsi="Arial" w:cs="Arial"/>
        </w:rPr>
        <w:t>,</w:t>
      </w:r>
      <w:r w:rsidR="00D21206">
        <w:rPr>
          <w:rFonts w:ascii="Arial" w:hAnsi="Arial" w:cs="Arial"/>
        </w:rPr>
        <w:t>1</w:t>
      </w:r>
      <w:r w:rsidR="00B62EBF">
        <w:rPr>
          <w:rFonts w:ascii="Arial" w:hAnsi="Arial" w:cs="Arial"/>
        </w:rPr>
        <w:t>46</w:t>
      </w:r>
      <w:r w:rsidRPr="00D21206">
        <w:rPr>
          <w:rFonts w:ascii="Arial" w:hAnsi="Arial" w:cs="Arial"/>
        </w:rPr>
        <w:t xml:space="preserve"> military families</w:t>
      </w:r>
    </w:p>
    <w:p w14:paraId="0EBFF91B" w14:textId="15BF91AD" w:rsidR="008819CA" w:rsidRPr="00D21206" w:rsidRDefault="008819CA" w:rsidP="00C374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  <w:color w:val="6C6E70"/>
        </w:rPr>
      </w:pPr>
      <w:r w:rsidRPr="00D21206">
        <w:rPr>
          <w:rFonts w:ascii="Arial" w:hAnsi="Arial" w:cs="Arial"/>
        </w:rPr>
        <w:t xml:space="preserve">Provided more than </w:t>
      </w:r>
      <w:r w:rsidR="006A4DA9">
        <w:rPr>
          <w:rFonts w:ascii="Arial" w:hAnsi="Arial" w:cs="Arial"/>
        </w:rPr>
        <w:t>175</w:t>
      </w:r>
      <w:r w:rsidRPr="00D21206">
        <w:rPr>
          <w:rFonts w:ascii="Arial" w:hAnsi="Arial" w:cs="Arial"/>
        </w:rPr>
        <w:t>,000 critical community services to 1</w:t>
      </w:r>
      <w:r w:rsidR="006A4DA9">
        <w:rPr>
          <w:rFonts w:ascii="Arial" w:hAnsi="Arial" w:cs="Arial"/>
        </w:rPr>
        <w:t>35,946</w:t>
      </w:r>
      <w:r w:rsidRPr="00D21206">
        <w:rPr>
          <w:rFonts w:ascii="Arial" w:hAnsi="Arial" w:cs="Arial"/>
        </w:rPr>
        <w:t xml:space="preserve"> service members and their families. </w:t>
      </w:r>
    </w:p>
    <w:p w14:paraId="6D5A30BB" w14:textId="68A9E908" w:rsidR="008819CA" w:rsidRPr="00D21206" w:rsidRDefault="008819CA" w:rsidP="00C374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  <w:color w:val="6C6E70"/>
        </w:rPr>
      </w:pPr>
      <w:r w:rsidRPr="00D21206">
        <w:rPr>
          <w:rFonts w:ascii="Arial" w:hAnsi="Arial" w:cs="Arial"/>
        </w:rPr>
        <w:t xml:space="preserve">Trained more than </w:t>
      </w:r>
      <w:r w:rsidR="006A4DA9">
        <w:rPr>
          <w:rFonts w:ascii="Arial" w:hAnsi="Arial" w:cs="Arial"/>
        </w:rPr>
        <w:t>19</w:t>
      </w:r>
      <w:r w:rsidRPr="00D21206">
        <w:rPr>
          <w:rFonts w:ascii="Arial" w:hAnsi="Arial" w:cs="Arial"/>
        </w:rPr>
        <w:t xml:space="preserve">,000 military family members in improving coping skills and resiliency. </w:t>
      </w:r>
    </w:p>
    <w:p w14:paraId="7DDDB3C4" w14:textId="595DCA05" w:rsidR="008819CA" w:rsidRPr="00D21206" w:rsidRDefault="008819CA" w:rsidP="00C374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  <w:color w:val="6C6E70"/>
        </w:rPr>
      </w:pPr>
      <w:r w:rsidRPr="00D21206">
        <w:rPr>
          <w:rFonts w:ascii="Arial" w:hAnsi="Arial" w:cs="Arial"/>
        </w:rPr>
        <w:t xml:space="preserve">Distributed more than </w:t>
      </w:r>
      <w:r w:rsidR="008C749E">
        <w:rPr>
          <w:rFonts w:ascii="Arial" w:hAnsi="Arial" w:cs="Arial"/>
        </w:rPr>
        <w:t>919</w:t>
      </w:r>
      <w:r w:rsidRPr="00D21206">
        <w:rPr>
          <w:rFonts w:ascii="Arial" w:hAnsi="Arial" w:cs="Arial"/>
        </w:rPr>
        <w:t xml:space="preserve">,000 care, comfort and therapy items at military hospitals and veteran medical facilities. </w:t>
      </w:r>
    </w:p>
    <w:p w14:paraId="361F5133" w14:textId="7E1C1427" w:rsidR="008819CA" w:rsidRPr="00D21206" w:rsidRDefault="008819CA" w:rsidP="00C374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  <w:color w:val="6C6E70"/>
        </w:rPr>
      </w:pPr>
      <w:r w:rsidRPr="00D21206">
        <w:rPr>
          <w:rFonts w:ascii="Arial" w:hAnsi="Arial" w:cs="Arial"/>
        </w:rPr>
        <w:t>Served more than 1</w:t>
      </w:r>
      <w:r w:rsidR="008C749E">
        <w:rPr>
          <w:rFonts w:ascii="Arial" w:hAnsi="Arial" w:cs="Arial"/>
        </w:rPr>
        <w:t>15</w:t>
      </w:r>
      <w:r w:rsidRPr="00D21206">
        <w:rPr>
          <w:rFonts w:ascii="Arial" w:hAnsi="Arial" w:cs="Arial"/>
        </w:rPr>
        <w:t>,000 service members in therapeutic activities and morale programs.</w:t>
      </w:r>
    </w:p>
    <w:p w14:paraId="74C94225" w14:textId="77777777" w:rsidR="002A6387" w:rsidRDefault="002A6387" w:rsidP="00C3740D">
      <w:pPr>
        <w:ind w:left="-810" w:right="-90"/>
        <w:jc w:val="both"/>
        <w:rPr>
          <w:rFonts w:ascii="Arial" w:hAnsi="Arial" w:cs="Arial"/>
        </w:rPr>
      </w:pPr>
    </w:p>
    <w:p w14:paraId="67FB8185" w14:textId="40FB4F56" w:rsidR="00CB4835" w:rsidRDefault="00DF47FE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>Locally</w:t>
      </w:r>
      <w:r w:rsidR="00CB4835">
        <w:rPr>
          <w:rFonts w:ascii="Arial" w:hAnsi="Arial" w:cs="Arial"/>
        </w:rPr>
        <w:t xml:space="preserve">, the Red Cross provides a number of services for members of the military, veterans and their families. Those services include: </w:t>
      </w:r>
      <w:r w:rsidR="00CB4835" w:rsidRPr="00DD6E3D">
        <w:rPr>
          <w:rFonts w:ascii="Arial" w:hAnsi="Arial" w:cs="Arial"/>
          <w:highlight w:val="yellow"/>
        </w:rPr>
        <w:t>[insert local service delivery information]</w:t>
      </w:r>
    </w:p>
    <w:p w14:paraId="36A4C3BA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69F58C70" w14:textId="77777777" w:rsidR="00CB4835" w:rsidRDefault="00CB4835" w:rsidP="00C3740D">
      <w:pPr>
        <w:ind w:left="-810" w:right="-90"/>
        <w:jc w:val="both"/>
        <w:rPr>
          <w:rFonts w:ascii="Arial" w:hAnsi="Arial" w:cs="Arial"/>
        </w:rPr>
      </w:pPr>
      <w:r w:rsidRPr="00D7116D">
        <w:rPr>
          <w:rFonts w:ascii="Arial" w:hAnsi="Arial" w:cs="Arial"/>
          <w:highlight w:val="yellow"/>
        </w:rPr>
        <w:t xml:space="preserve">[Insert </w:t>
      </w:r>
      <w:r w:rsidR="002A6387">
        <w:rPr>
          <w:rFonts w:ascii="Arial" w:hAnsi="Arial" w:cs="Arial"/>
          <w:highlight w:val="yellow"/>
        </w:rPr>
        <w:t xml:space="preserve">donor </w:t>
      </w:r>
      <w:r w:rsidRPr="00D7116D">
        <w:rPr>
          <w:rFonts w:ascii="Arial" w:hAnsi="Arial" w:cs="Arial"/>
          <w:highlight w:val="yellow"/>
        </w:rPr>
        <w:t>quotation]</w:t>
      </w:r>
      <w:r w:rsidR="00D7116D" w:rsidRPr="00D7116D">
        <w:rPr>
          <w:rFonts w:ascii="Arial" w:hAnsi="Arial" w:cs="Arial"/>
          <w:highlight w:val="yellow"/>
        </w:rPr>
        <w:t xml:space="preserve"> - This will need to be approved by the Red Cross.</w:t>
      </w:r>
    </w:p>
    <w:p w14:paraId="0C1984AD" w14:textId="77777777" w:rsidR="00D7116D" w:rsidRDefault="00D7116D" w:rsidP="00C3740D">
      <w:pPr>
        <w:ind w:left="-810" w:right="-90"/>
        <w:jc w:val="both"/>
        <w:rPr>
          <w:rFonts w:ascii="Arial" w:hAnsi="Arial" w:cs="Arial"/>
        </w:rPr>
      </w:pPr>
    </w:p>
    <w:p w14:paraId="4A03881C" w14:textId="68E16E1A" w:rsidR="00CB4835" w:rsidRDefault="00CB4835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Individuals, groups and corporations can join Service to the Armed Forces Giving Program members and help provide support to </w:t>
      </w:r>
      <w:r w:rsidR="002A6387">
        <w:rPr>
          <w:rFonts w:ascii="Arial" w:hAnsi="Arial" w:cs="Arial"/>
        </w:rPr>
        <w:t xml:space="preserve">the military community </w:t>
      </w:r>
      <w:r>
        <w:rPr>
          <w:rFonts w:ascii="Arial" w:hAnsi="Arial" w:cs="Arial"/>
        </w:rPr>
        <w:t>across the country or around the world. Visit redcross.org or call 1-800-RED</w:t>
      </w:r>
      <w:r w:rsidR="00486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CROSS (1-800-733-2767) to make a donation.</w:t>
      </w:r>
    </w:p>
    <w:p w14:paraId="04897AE9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293CDCDE" w14:textId="4179C9A3" w:rsidR="002A6387" w:rsidRPr="0044696E" w:rsidRDefault="00CB4835" w:rsidP="002A6387">
      <w:pPr>
        <w:ind w:left="-810" w:right="-90"/>
        <w:jc w:val="both"/>
        <w:outlineLvl w:val="0"/>
        <w:rPr>
          <w:rFonts w:ascii="Arial" w:hAnsi="Arial" w:cs="Arial"/>
          <w:i/>
          <w:iCs/>
          <w:sz w:val="19"/>
          <w:szCs w:val="19"/>
        </w:rPr>
      </w:pPr>
      <w:r w:rsidRPr="005C32C2">
        <w:rPr>
          <w:rFonts w:ascii="Arial" w:hAnsi="Arial" w:cs="Arial"/>
          <w:b/>
          <w:bCs/>
          <w:iCs/>
        </w:rPr>
        <w:t>About the American Red Cross</w:t>
      </w:r>
      <w:r w:rsidR="00806665">
        <w:rPr>
          <w:rFonts w:ascii="Arial" w:hAnsi="Arial" w:cs="Arial"/>
          <w:b/>
          <w:bCs/>
          <w:iCs/>
        </w:rPr>
        <w:t xml:space="preserve"> </w:t>
      </w:r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The American Red Cross shelters, feeds and provides emotional support to victims of disasters; supplies about 40 percent of the nation's blood; teaches skills that save lives; provides international humanitarian aid; and supports military members and their families. The Red Cross is a not-for-profit organization that depends on volunteers and the generosity of the American public to perform its mission. For more information, please visit </w:t>
      </w:r>
      <w:hyperlink r:id="rId7" w:history="1">
        <w:r w:rsidR="002A6387" w:rsidRPr="0044696E">
          <w:rPr>
            <w:rStyle w:val="Hyperlink"/>
            <w:rFonts w:ascii="Arial" w:eastAsia="MS ??" w:hAnsi="Arial" w:cs="Arial"/>
            <w:i/>
            <w:iCs/>
            <w:sz w:val="19"/>
            <w:szCs w:val="19"/>
          </w:rPr>
          <w:t>redcross.org</w:t>
        </w:r>
      </w:hyperlink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 </w:t>
      </w:r>
      <w:r w:rsidR="00486A5F">
        <w:rPr>
          <w:rFonts w:ascii="Arial" w:hAnsi="Arial" w:cs="Arial"/>
          <w:i/>
          <w:iCs/>
          <w:sz w:val="19"/>
          <w:szCs w:val="19"/>
        </w:rPr>
        <w:t xml:space="preserve">or cruzrojaamericana.org, </w:t>
      </w:r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or visit us on Twitter at </w:t>
      </w:r>
      <w:hyperlink r:id="rId8" w:history="1">
        <w:r w:rsidR="002A6387" w:rsidRPr="0044696E">
          <w:rPr>
            <w:rStyle w:val="Hyperlink"/>
            <w:rFonts w:ascii="Arial" w:eastAsia="MS ??" w:hAnsi="Arial" w:cs="Arial"/>
            <w:i/>
            <w:iCs/>
            <w:sz w:val="19"/>
            <w:szCs w:val="19"/>
          </w:rPr>
          <w:t>@RedCross</w:t>
        </w:r>
      </w:hyperlink>
      <w:r w:rsidR="002A6387" w:rsidRPr="0044696E">
        <w:rPr>
          <w:rFonts w:ascii="Arial" w:hAnsi="Arial" w:cs="Arial"/>
          <w:i/>
          <w:iCs/>
          <w:sz w:val="19"/>
          <w:szCs w:val="19"/>
        </w:rPr>
        <w:t>.</w:t>
      </w:r>
    </w:p>
    <w:p w14:paraId="1EF1E82C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4164AA50" w14:textId="77777777" w:rsidR="00CB4835" w:rsidRPr="00E230C6" w:rsidRDefault="00CB4835" w:rsidP="00C3740D">
      <w:pPr>
        <w:ind w:left="-810" w:right="-90"/>
        <w:jc w:val="both"/>
        <w:outlineLvl w:val="0"/>
        <w:rPr>
          <w:rFonts w:ascii="Arial" w:hAnsi="Arial" w:cs="Arial"/>
          <w:b/>
          <w:bCs/>
        </w:rPr>
      </w:pPr>
      <w:r w:rsidRPr="00E230C6">
        <w:rPr>
          <w:rFonts w:ascii="Arial" w:hAnsi="Arial" w:cs="Arial"/>
          <w:b/>
          <w:bCs/>
        </w:rPr>
        <w:t xml:space="preserve">About </w:t>
      </w:r>
      <w:r w:rsidRPr="00E230C6">
        <w:rPr>
          <w:rFonts w:ascii="Arial" w:hAnsi="Arial" w:cs="Arial"/>
          <w:b/>
          <w:bCs/>
          <w:highlight w:val="cyan"/>
        </w:rPr>
        <w:t>XX</w:t>
      </w:r>
    </w:p>
    <w:p w14:paraId="4DE6A018" w14:textId="77777777" w:rsidR="0032226A" w:rsidRDefault="00CB4835" w:rsidP="00C3740D">
      <w:pPr>
        <w:ind w:left="-810" w:right="-90"/>
        <w:jc w:val="both"/>
        <w:outlineLvl w:val="0"/>
        <w:rPr>
          <w:rFonts w:ascii="Arial" w:hAnsi="Arial" w:cs="Arial"/>
          <w:bCs/>
          <w:i/>
        </w:rPr>
      </w:pPr>
      <w:r w:rsidRPr="00B07515">
        <w:rPr>
          <w:rFonts w:ascii="Arial" w:hAnsi="Arial" w:cs="Arial"/>
          <w:bCs/>
          <w:i/>
          <w:highlight w:val="yellow"/>
        </w:rPr>
        <w:t>Insert boilerplate</w:t>
      </w:r>
    </w:p>
    <w:p w14:paraId="23989B2D" w14:textId="77777777" w:rsidR="00CB4835" w:rsidRPr="005C32C2" w:rsidRDefault="00370C4D" w:rsidP="0032226A">
      <w:pPr>
        <w:ind w:left="-810" w:right="-90"/>
        <w:jc w:val="center"/>
        <w:outlineLvl w:val="0"/>
        <w:rPr>
          <w:rFonts w:ascii="Arial" w:hAnsi="Arial" w:cs="Arial"/>
          <w:b/>
        </w:rPr>
      </w:pPr>
      <w:r w:rsidRPr="005C32C2">
        <w:rPr>
          <w:rFonts w:ascii="Arial" w:hAnsi="Arial" w:cs="Arial"/>
          <w:b/>
          <w:iCs/>
        </w:rPr>
        <w:t>###</w:t>
      </w:r>
    </w:p>
    <w:sectPr w:rsidR="00CB4835" w:rsidRPr="005C32C2" w:rsidSect="00F04914">
      <w:headerReference w:type="even" r:id="rId9"/>
      <w:headerReference w:type="default" r:id="rId10"/>
      <w:headerReference w:type="first" r:id="rId11"/>
      <w:pgSz w:w="12240" w:h="15840"/>
      <w:pgMar w:top="360" w:right="99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2E23" w14:textId="77777777" w:rsidR="0098538C" w:rsidRDefault="0098538C">
      <w:r>
        <w:separator/>
      </w:r>
    </w:p>
  </w:endnote>
  <w:endnote w:type="continuationSeparator" w:id="0">
    <w:p w14:paraId="01E402FA" w14:textId="77777777" w:rsidR="0098538C" w:rsidRDefault="0098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kzidenz-Grotesk Std Regular">
    <w:altName w:val="Kartika"/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74F5" w14:textId="77777777" w:rsidR="0098538C" w:rsidRDefault="0098538C">
      <w:r>
        <w:separator/>
      </w:r>
    </w:p>
  </w:footnote>
  <w:footnote w:type="continuationSeparator" w:id="0">
    <w:p w14:paraId="64832221" w14:textId="77777777" w:rsidR="0098538C" w:rsidRDefault="0098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B84" w14:textId="77777777" w:rsidR="00CB4835" w:rsidRDefault="0098538C">
    <w:pPr>
      <w:pStyle w:val="Header"/>
    </w:pPr>
    <w:r>
      <w:rPr>
        <w:noProof/>
      </w:rPr>
      <w:pict w14:anchorId="0CDE3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75.85pt;height:190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CEA8" w14:textId="77777777" w:rsidR="00CB4835" w:rsidRDefault="0098538C">
    <w:pPr>
      <w:pStyle w:val="Header"/>
    </w:pPr>
    <w:r>
      <w:rPr>
        <w:noProof/>
      </w:rPr>
      <w:pict w14:anchorId="438EF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475.85pt;height:190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2374" w14:textId="77777777" w:rsidR="00CB4835" w:rsidRDefault="0098538C">
    <w:pPr>
      <w:pStyle w:val="Header"/>
    </w:pPr>
    <w:r>
      <w:rPr>
        <w:noProof/>
      </w:rPr>
      <w:pict w14:anchorId="5F10B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75.85pt;height:190.3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AD3"/>
    <w:multiLevelType w:val="hybridMultilevel"/>
    <w:tmpl w:val="A6C45D6E"/>
    <w:lvl w:ilvl="0" w:tplc="4874E9D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336D"/>
    <w:multiLevelType w:val="hybridMultilevel"/>
    <w:tmpl w:val="B2469D46"/>
    <w:lvl w:ilvl="0" w:tplc="3A4CD750">
      <w:numFmt w:val="bullet"/>
      <w:lvlText w:val="•"/>
      <w:lvlJc w:val="left"/>
      <w:pPr>
        <w:ind w:left="360" w:hanging="360"/>
      </w:pPr>
      <w:rPr>
        <w:rFonts w:ascii="Akzidenz-Grotesk Std Regular" w:eastAsia="Times New Roman" w:hAnsi="Akzidenz-Grotesk Std Regular" w:hint="default"/>
        <w:color w:val="6C6E7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A470B"/>
    <w:multiLevelType w:val="hybridMultilevel"/>
    <w:tmpl w:val="587E6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F6615"/>
    <w:multiLevelType w:val="hybridMultilevel"/>
    <w:tmpl w:val="058AC00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6A3D6DEC"/>
    <w:multiLevelType w:val="hybridMultilevel"/>
    <w:tmpl w:val="AB06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906D3"/>
    <w:multiLevelType w:val="hybridMultilevel"/>
    <w:tmpl w:val="EEC24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063752">
    <w:abstractNumId w:val="2"/>
  </w:num>
  <w:num w:numId="2" w16cid:durableId="283319007">
    <w:abstractNumId w:val="4"/>
  </w:num>
  <w:num w:numId="3" w16cid:durableId="1165246520">
    <w:abstractNumId w:val="1"/>
  </w:num>
  <w:num w:numId="4" w16cid:durableId="1894736695">
    <w:abstractNumId w:val="5"/>
  </w:num>
  <w:num w:numId="5" w16cid:durableId="64500455">
    <w:abstractNumId w:val="3"/>
  </w:num>
  <w:num w:numId="6" w16cid:durableId="163113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7D"/>
    <w:rsid w:val="00003285"/>
    <w:rsid w:val="00003802"/>
    <w:rsid w:val="00003B72"/>
    <w:rsid w:val="00010EE6"/>
    <w:rsid w:val="00012CC6"/>
    <w:rsid w:val="0001325F"/>
    <w:rsid w:val="00023A72"/>
    <w:rsid w:val="00027625"/>
    <w:rsid w:val="000300EA"/>
    <w:rsid w:val="00030AAE"/>
    <w:rsid w:val="00032735"/>
    <w:rsid w:val="0004241D"/>
    <w:rsid w:val="00045AF7"/>
    <w:rsid w:val="000500E5"/>
    <w:rsid w:val="000703B9"/>
    <w:rsid w:val="00076B6A"/>
    <w:rsid w:val="00080DD5"/>
    <w:rsid w:val="00081699"/>
    <w:rsid w:val="00095A0E"/>
    <w:rsid w:val="000A4B8C"/>
    <w:rsid w:val="000C4712"/>
    <w:rsid w:val="000D231A"/>
    <w:rsid w:val="000D3A71"/>
    <w:rsid w:val="000D63B9"/>
    <w:rsid w:val="000E29ED"/>
    <w:rsid w:val="000F1C53"/>
    <w:rsid w:val="00101854"/>
    <w:rsid w:val="001156D9"/>
    <w:rsid w:val="0011572C"/>
    <w:rsid w:val="001225FC"/>
    <w:rsid w:val="00130EEB"/>
    <w:rsid w:val="00136373"/>
    <w:rsid w:val="0015105C"/>
    <w:rsid w:val="00164DB0"/>
    <w:rsid w:val="0017162F"/>
    <w:rsid w:val="0017317D"/>
    <w:rsid w:val="0017323A"/>
    <w:rsid w:val="001801B7"/>
    <w:rsid w:val="00184743"/>
    <w:rsid w:val="00187148"/>
    <w:rsid w:val="0018728A"/>
    <w:rsid w:val="00187DB3"/>
    <w:rsid w:val="001937F5"/>
    <w:rsid w:val="00193D8F"/>
    <w:rsid w:val="0019694C"/>
    <w:rsid w:val="001A27A6"/>
    <w:rsid w:val="001A41A0"/>
    <w:rsid w:val="001B01D8"/>
    <w:rsid w:val="001B5F88"/>
    <w:rsid w:val="001C4A61"/>
    <w:rsid w:val="001C4D00"/>
    <w:rsid w:val="001D1132"/>
    <w:rsid w:val="001D293F"/>
    <w:rsid w:val="001D786E"/>
    <w:rsid w:val="001E239F"/>
    <w:rsid w:val="001E299D"/>
    <w:rsid w:val="001E39A4"/>
    <w:rsid w:val="001E4976"/>
    <w:rsid w:val="001F0DD8"/>
    <w:rsid w:val="001F1BC6"/>
    <w:rsid w:val="00201367"/>
    <w:rsid w:val="002027FD"/>
    <w:rsid w:val="00207599"/>
    <w:rsid w:val="00212B6B"/>
    <w:rsid w:val="00232425"/>
    <w:rsid w:val="0023798C"/>
    <w:rsid w:val="00243B8A"/>
    <w:rsid w:val="00246074"/>
    <w:rsid w:val="00257581"/>
    <w:rsid w:val="002631E2"/>
    <w:rsid w:val="00264E80"/>
    <w:rsid w:val="00265591"/>
    <w:rsid w:val="00271209"/>
    <w:rsid w:val="00276FE7"/>
    <w:rsid w:val="0028317A"/>
    <w:rsid w:val="00284882"/>
    <w:rsid w:val="00285773"/>
    <w:rsid w:val="00291210"/>
    <w:rsid w:val="0029377C"/>
    <w:rsid w:val="002A6387"/>
    <w:rsid w:val="002B1B4D"/>
    <w:rsid w:val="002B1FFA"/>
    <w:rsid w:val="002B2689"/>
    <w:rsid w:val="002C0D53"/>
    <w:rsid w:val="002C556A"/>
    <w:rsid w:val="002D46A9"/>
    <w:rsid w:val="002E08BF"/>
    <w:rsid w:val="002F7E5E"/>
    <w:rsid w:val="00304DE8"/>
    <w:rsid w:val="00311E5B"/>
    <w:rsid w:val="00313750"/>
    <w:rsid w:val="00316F14"/>
    <w:rsid w:val="00320D9F"/>
    <w:rsid w:val="0032226A"/>
    <w:rsid w:val="00323C98"/>
    <w:rsid w:val="00341086"/>
    <w:rsid w:val="0034761E"/>
    <w:rsid w:val="00357880"/>
    <w:rsid w:val="0036471B"/>
    <w:rsid w:val="003701B8"/>
    <w:rsid w:val="00370C4D"/>
    <w:rsid w:val="003716A6"/>
    <w:rsid w:val="003756E8"/>
    <w:rsid w:val="0037583F"/>
    <w:rsid w:val="003816B8"/>
    <w:rsid w:val="00386D10"/>
    <w:rsid w:val="00387546"/>
    <w:rsid w:val="0039008D"/>
    <w:rsid w:val="00391A01"/>
    <w:rsid w:val="0039344D"/>
    <w:rsid w:val="003A2470"/>
    <w:rsid w:val="003D01D0"/>
    <w:rsid w:val="003D1DD0"/>
    <w:rsid w:val="003D2DB0"/>
    <w:rsid w:val="003D7C47"/>
    <w:rsid w:val="003E260A"/>
    <w:rsid w:val="003E4568"/>
    <w:rsid w:val="003E47B0"/>
    <w:rsid w:val="00401CE1"/>
    <w:rsid w:val="004036AF"/>
    <w:rsid w:val="0040578E"/>
    <w:rsid w:val="00410F10"/>
    <w:rsid w:val="00421ED3"/>
    <w:rsid w:val="00430B27"/>
    <w:rsid w:val="00432F8B"/>
    <w:rsid w:val="00434BB1"/>
    <w:rsid w:val="00434D2A"/>
    <w:rsid w:val="00440BBB"/>
    <w:rsid w:val="0044359A"/>
    <w:rsid w:val="0044364C"/>
    <w:rsid w:val="004543D1"/>
    <w:rsid w:val="00461B0E"/>
    <w:rsid w:val="00464B82"/>
    <w:rsid w:val="004665A9"/>
    <w:rsid w:val="004673E1"/>
    <w:rsid w:val="004701C1"/>
    <w:rsid w:val="00475212"/>
    <w:rsid w:val="00476BC6"/>
    <w:rsid w:val="00483AE1"/>
    <w:rsid w:val="00486A5F"/>
    <w:rsid w:val="00487E20"/>
    <w:rsid w:val="00493F92"/>
    <w:rsid w:val="004B0D77"/>
    <w:rsid w:val="004B6218"/>
    <w:rsid w:val="004B7549"/>
    <w:rsid w:val="004C0735"/>
    <w:rsid w:val="004C3001"/>
    <w:rsid w:val="004C7612"/>
    <w:rsid w:val="004D42B4"/>
    <w:rsid w:val="004D4B34"/>
    <w:rsid w:val="004D69B0"/>
    <w:rsid w:val="004E138D"/>
    <w:rsid w:val="004E4DE2"/>
    <w:rsid w:val="004E73AC"/>
    <w:rsid w:val="004F14BC"/>
    <w:rsid w:val="004F326D"/>
    <w:rsid w:val="004F7BB9"/>
    <w:rsid w:val="005053D0"/>
    <w:rsid w:val="00513886"/>
    <w:rsid w:val="005265F2"/>
    <w:rsid w:val="00531C09"/>
    <w:rsid w:val="00544578"/>
    <w:rsid w:val="0054508C"/>
    <w:rsid w:val="00547EEF"/>
    <w:rsid w:val="00554569"/>
    <w:rsid w:val="00557FDF"/>
    <w:rsid w:val="005618F7"/>
    <w:rsid w:val="005747F9"/>
    <w:rsid w:val="005753B6"/>
    <w:rsid w:val="0058123A"/>
    <w:rsid w:val="00584DF2"/>
    <w:rsid w:val="005A126B"/>
    <w:rsid w:val="005A5BC1"/>
    <w:rsid w:val="005B1E1F"/>
    <w:rsid w:val="005B3671"/>
    <w:rsid w:val="005C0245"/>
    <w:rsid w:val="005C32C2"/>
    <w:rsid w:val="005C6D42"/>
    <w:rsid w:val="005D333F"/>
    <w:rsid w:val="005E07E6"/>
    <w:rsid w:val="005E52EB"/>
    <w:rsid w:val="005E7FBE"/>
    <w:rsid w:val="005F3853"/>
    <w:rsid w:val="005F3E23"/>
    <w:rsid w:val="00601490"/>
    <w:rsid w:val="00606325"/>
    <w:rsid w:val="006076F2"/>
    <w:rsid w:val="0061023E"/>
    <w:rsid w:val="006112C6"/>
    <w:rsid w:val="00616DE7"/>
    <w:rsid w:val="006170CA"/>
    <w:rsid w:val="0062492B"/>
    <w:rsid w:val="0062656F"/>
    <w:rsid w:val="00630496"/>
    <w:rsid w:val="00633018"/>
    <w:rsid w:val="00633F10"/>
    <w:rsid w:val="0064329B"/>
    <w:rsid w:val="00651391"/>
    <w:rsid w:val="006548B6"/>
    <w:rsid w:val="00656CAE"/>
    <w:rsid w:val="00657B2F"/>
    <w:rsid w:val="0066485C"/>
    <w:rsid w:val="006671CE"/>
    <w:rsid w:val="006717D3"/>
    <w:rsid w:val="00674D23"/>
    <w:rsid w:val="006809A2"/>
    <w:rsid w:val="0068139B"/>
    <w:rsid w:val="00686554"/>
    <w:rsid w:val="00697868"/>
    <w:rsid w:val="006A04B4"/>
    <w:rsid w:val="006A3680"/>
    <w:rsid w:val="006A4DA9"/>
    <w:rsid w:val="006A6F06"/>
    <w:rsid w:val="006A7BA0"/>
    <w:rsid w:val="006B1566"/>
    <w:rsid w:val="006B4073"/>
    <w:rsid w:val="006B77EE"/>
    <w:rsid w:val="006D53E2"/>
    <w:rsid w:val="006D7F0F"/>
    <w:rsid w:val="006E14AE"/>
    <w:rsid w:val="006E4EDE"/>
    <w:rsid w:val="006F0D6F"/>
    <w:rsid w:val="007020A3"/>
    <w:rsid w:val="00702B69"/>
    <w:rsid w:val="00707C4A"/>
    <w:rsid w:val="00711B75"/>
    <w:rsid w:val="00722DC7"/>
    <w:rsid w:val="0074074D"/>
    <w:rsid w:val="007570AF"/>
    <w:rsid w:val="00757342"/>
    <w:rsid w:val="00776C96"/>
    <w:rsid w:val="00777679"/>
    <w:rsid w:val="00794508"/>
    <w:rsid w:val="007B6FF4"/>
    <w:rsid w:val="007C5248"/>
    <w:rsid w:val="007C74D7"/>
    <w:rsid w:val="007D3C6B"/>
    <w:rsid w:val="007E10AE"/>
    <w:rsid w:val="007E2C9A"/>
    <w:rsid w:val="007E3520"/>
    <w:rsid w:val="007E416F"/>
    <w:rsid w:val="007E5EE7"/>
    <w:rsid w:val="007F0789"/>
    <w:rsid w:val="007F40AC"/>
    <w:rsid w:val="00802530"/>
    <w:rsid w:val="00806665"/>
    <w:rsid w:val="00812DE3"/>
    <w:rsid w:val="00813A2D"/>
    <w:rsid w:val="00814D09"/>
    <w:rsid w:val="0082318A"/>
    <w:rsid w:val="00823F31"/>
    <w:rsid w:val="0082624A"/>
    <w:rsid w:val="00836DBC"/>
    <w:rsid w:val="00845D9D"/>
    <w:rsid w:val="0085475A"/>
    <w:rsid w:val="00860364"/>
    <w:rsid w:val="00862B9A"/>
    <w:rsid w:val="0087774E"/>
    <w:rsid w:val="008802EE"/>
    <w:rsid w:val="008819CA"/>
    <w:rsid w:val="0088296E"/>
    <w:rsid w:val="0089788D"/>
    <w:rsid w:val="008B1BC7"/>
    <w:rsid w:val="008B24CF"/>
    <w:rsid w:val="008B306B"/>
    <w:rsid w:val="008C0602"/>
    <w:rsid w:val="008C1092"/>
    <w:rsid w:val="008C2248"/>
    <w:rsid w:val="008C4120"/>
    <w:rsid w:val="008C749E"/>
    <w:rsid w:val="008D0542"/>
    <w:rsid w:val="008F66CE"/>
    <w:rsid w:val="00904B7C"/>
    <w:rsid w:val="00905F9E"/>
    <w:rsid w:val="0091398C"/>
    <w:rsid w:val="00916545"/>
    <w:rsid w:val="00916B22"/>
    <w:rsid w:val="0091745E"/>
    <w:rsid w:val="009208FF"/>
    <w:rsid w:val="00921FEC"/>
    <w:rsid w:val="009268D6"/>
    <w:rsid w:val="009271AC"/>
    <w:rsid w:val="00933EA5"/>
    <w:rsid w:val="0094202C"/>
    <w:rsid w:val="00942BBB"/>
    <w:rsid w:val="009431F1"/>
    <w:rsid w:val="0095256C"/>
    <w:rsid w:val="00952C20"/>
    <w:rsid w:val="009549BF"/>
    <w:rsid w:val="0095509A"/>
    <w:rsid w:val="00956121"/>
    <w:rsid w:val="009673BE"/>
    <w:rsid w:val="0098538C"/>
    <w:rsid w:val="00992994"/>
    <w:rsid w:val="00996FDB"/>
    <w:rsid w:val="00997AD2"/>
    <w:rsid w:val="009A4F24"/>
    <w:rsid w:val="009A500A"/>
    <w:rsid w:val="009A631F"/>
    <w:rsid w:val="009B1CE5"/>
    <w:rsid w:val="009B1DF4"/>
    <w:rsid w:val="009C65C7"/>
    <w:rsid w:val="009E1301"/>
    <w:rsid w:val="009E55A9"/>
    <w:rsid w:val="009F3F54"/>
    <w:rsid w:val="009F6096"/>
    <w:rsid w:val="00A049D9"/>
    <w:rsid w:val="00A071B9"/>
    <w:rsid w:val="00A43636"/>
    <w:rsid w:val="00A47B34"/>
    <w:rsid w:val="00A63DE6"/>
    <w:rsid w:val="00A653AA"/>
    <w:rsid w:val="00A769E8"/>
    <w:rsid w:val="00A80CCE"/>
    <w:rsid w:val="00A865A5"/>
    <w:rsid w:val="00AA0CDD"/>
    <w:rsid w:val="00AA3974"/>
    <w:rsid w:val="00AA497A"/>
    <w:rsid w:val="00AA788B"/>
    <w:rsid w:val="00AB1E68"/>
    <w:rsid w:val="00AB2976"/>
    <w:rsid w:val="00AB362F"/>
    <w:rsid w:val="00AB43FD"/>
    <w:rsid w:val="00AC0198"/>
    <w:rsid w:val="00AC1FDF"/>
    <w:rsid w:val="00AC53C1"/>
    <w:rsid w:val="00AC7C9C"/>
    <w:rsid w:val="00AD5EA9"/>
    <w:rsid w:val="00AE22E4"/>
    <w:rsid w:val="00AE71A7"/>
    <w:rsid w:val="00AF0AEE"/>
    <w:rsid w:val="00AF4D1F"/>
    <w:rsid w:val="00AF6418"/>
    <w:rsid w:val="00B00DF7"/>
    <w:rsid w:val="00B00FB3"/>
    <w:rsid w:val="00B04276"/>
    <w:rsid w:val="00B07515"/>
    <w:rsid w:val="00B205A5"/>
    <w:rsid w:val="00B2459D"/>
    <w:rsid w:val="00B25862"/>
    <w:rsid w:val="00B26A35"/>
    <w:rsid w:val="00B33EE4"/>
    <w:rsid w:val="00B42FB0"/>
    <w:rsid w:val="00B4631C"/>
    <w:rsid w:val="00B62EBF"/>
    <w:rsid w:val="00B725A7"/>
    <w:rsid w:val="00B733A7"/>
    <w:rsid w:val="00B8628D"/>
    <w:rsid w:val="00B94B81"/>
    <w:rsid w:val="00B9632F"/>
    <w:rsid w:val="00BA09B3"/>
    <w:rsid w:val="00BA4385"/>
    <w:rsid w:val="00BA48DB"/>
    <w:rsid w:val="00BB3D9A"/>
    <w:rsid w:val="00BB66F4"/>
    <w:rsid w:val="00BD369F"/>
    <w:rsid w:val="00BD68EE"/>
    <w:rsid w:val="00BE4418"/>
    <w:rsid w:val="00BF5B67"/>
    <w:rsid w:val="00BF70ED"/>
    <w:rsid w:val="00C161F8"/>
    <w:rsid w:val="00C34D76"/>
    <w:rsid w:val="00C3740D"/>
    <w:rsid w:val="00C52FBB"/>
    <w:rsid w:val="00C9117E"/>
    <w:rsid w:val="00C94D31"/>
    <w:rsid w:val="00C9517D"/>
    <w:rsid w:val="00CA6FE0"/>
    <w:rsid w:val="00CB4835"/>
    <w:rsid w:val="00CB4884"/>
    <w:rsid w:val="00CC09D5"/>
    <w:rsid w:val="00CC267D"/>
    <w:rsid w:val="00CC5069"/>
    <w:rsid w:val="00CC6858"/>
    <w:rsid w:val="00CD12BA"/>
    <w:rsid w:val="00CD27D3"/>
    <w:rsid w:val="00D0314D"/>
    <w:rsid w:val="00D03979"/>
    <w:rsid w:val="00D146EE"/>
    <w:rsid w:val="00D2088F"/>
    <w:rsid w:val="00D21206"/>
    <w:rsid w:val="00D25B45"/>
    <w:rsid w:val="00D5018A"/>
    <w:rsid w:val="00D50D68"/>
    <w:rsid w:val="00D56B95"/>
    <w:rsid w:val="00D63548"/>
    <w:rsid w:val="00D7116D"/>
    <w:rsid w:val="00D76194"/>
    <w:rsid w:val="00D868A3"/>
    <w:rsid w:val="00D86D17"/>
    <w:rsid w:val="00D919EF"/>
    <w:rsid w:val="00DA0338"/>
    <w:rsid w:val="00DA3712"/>
    <w:rsid w:val="00DA725D"/>
    <w:rsid w:val="00DB73AB"/>
    <w:rsid w:val="00DC16CA"/>
    <w:rsid w:val="00DD290B"/>
    <w:rsid w:val="00DD29C8"/>
    <w:rsid w:val="00DD6E3D"/>
    <w:rsid w:val="00DE1F22"/>
    <w:rsid w:val="00DE69D6"/>
    <w:rsid w:val="00DF3BA4"/>
    <w:rsid w:val="00DF43E5"/>
    <w:rsid w:val="00DF47FE"/>
    <w:rsid w:val="00E00A34"/>
    <w:rsid w:val="00E1633F"/>
    <w:rsid w:val="00E1638F"/>
    <w:rsid w:val="00E230C6"/>
    <w:rsid w:val="00E24523"/>
    <w:rsid w:val="00E355D8"/>
    <w:rsid w:val="00E407C6"/>
    <w:rsid w:val="00E41CBA"/>
    <w:rsid w:val="00E42B31"/>
    <w:rsid w:val="00E54F32"/>
    <w:rsid w:val="00E55FF3"/>
    <w:rsid w:val="00E70A3E"/>
    <w:rsid w:val="00E75A1B"/>
    <w:rsid w:val="00E75D46"/>
    <w:rsid w:val="00E9431F"/>
    <w:rsid w:val="00E964FA"/>
    <w:rsid w:val="00E9671F"/>
    <w:rsid w:val="00EA0D1C"/>
    <w:rsid w:val="00EA2FCB"/>
    <w:rsid w:val="00EA4A66"/>
    <w:rsid w:val="00EA5EA7"/>
    <w:rsid w:val="00EA610D"/>
    <w:rsid w:val="00EA7A85"/>
    <w:rsid w:val="00EB0697"/>
    <w:rsid w:val="00EB1E76"/>
    <w:rsid w:val="00EB2881"/>
    <w:rsid w:val="00EB7403"/>
    <w:rsid w:val="00EC0A91"/>
    <w:rsid w:val="00EC3C7B"/>
    <w:rsid w:val="00EC746D"/>
    <w:rsid w:val="00ED26F7"/>
    <w:rsid w:val="00ED595B"/>
    <w:rsid w:val="00ED5B15"/>
    <w:rsid w:val="00EE27B1"/>
    <w:rsid w:val="00EE49FD"/>
    <w:rsid w:val="00EE4C34"/>
    <w:rsid w:val="00EE6FBA"/>
    <w:rsid w:val="00EF0C0D"/>
    <w:rsid w:val="00EF13FE"/>
    <w:rsid w:val="00EF6D91"/>
    <w:rsid w:val="00EF75A1"/>
    <w:rsid w:val="00F00B7F"/>
    <w:rsid w:val="00F00DC8"/>
    <w:rsid w:val="00F019E4"/>
    <w:rsid w:val="00F04914"/>
    <w:rsid w:val="00F12A0C"/>
    <w:rsid w:val="00F12FBF"/>
    <w:rsid w:val="00F13AAB"/>
    <w:rsid w:val="00F13E57"/>
    <w:rsid w:val="00F2081F"/>
    <w:rsid w:val="00F22984"/>
    <w:rsid w:val="00F2403D"/>
    <w:rsid w:val="00F3019F"/>
    <w:rsid w:val="00F32EA7"/>
    <w:rsid w:val="00F35145"/>
    <w:rsid w:val="00F368DE"/>
    <w:rsid w:val="00F40A7B"/>
    <w:rsid w:val="00F43FF0"/>
    <w:rsid w:val="00F634B1"/>
    <w:rsid w:val="00F65282"/>
    <w:rsid w:val="00F74D61"/>
    <w:rsid w:val="00F82DC7"/>
    <w:rsid w:val="00F871BA"/>
    <w:rsid w:val="00F916D8"/>
    <w:rsid w:val="00F92161"/>
    <w:rsid w:val="00F97A6D"/>
    <w:rsid w:val="00FA7563"/>
    <w:rsid w:val="00FC3C23"/>
    <w:rsid w:val="00FC5595"/>
    <w:rsid w:val="00FC6D78"/>
    <w:rsid w:val="00FC6F87"/>
    <w:rsid w:val="00FD05E6"/>
    <w:rsid w:val="00FD1F93"/>
    <w:rsid w:val="00FD2769"/>
    <w:rsid w:val="00FE3BC9"/>
    <w:rsid w:val="00FF0116"/>
    <w:rsid w:val="00FF1C24"/>
    <w:rsid w:val="00FF70BA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D1C337"/>
  <w15:docId w15:val="{7B30CD13-AA0C-4584-9851-D010185E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4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DE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04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DE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4C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DE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B36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36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3D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3DE6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D4B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3DE6"/>
    <w:rPr>
      <w:rFonts w:cs="Times New Roman"/>
      <w:sz w:val="2"/>
    </w:rPr>
  </w:style>
  <w:style w:type="character" w:customStyle="1" w:styleId="A3">
    <w:name w:val="A3"/>
    <w:uiPriority w:val="99"/>
    <w:rsid w:val="00FC6D78"/>
    <w:rPr>
      <w:color w:val="6C6E70"/>
      <w:sz w:val="20"/>
    </w:rPr>
  </w:style>
  <w:style w:type="paragraph" w:customStyle="1" w:styleId="Pa2">
    <w:name w:val="Pa2"/>
    <w:basedOn w:val="Normal"/>
    <w:next w:val="Normal"/>
    <w:uiPriority w:val="99"/>
    <w:rsid w:val="00FC6D78"/>
    <w:pPr>
      <w:autoSpaceDE w:val="0"/>
      <w:autoSpaceDN w:val="0"/>
      <w:adjustRightInd w:val="0"/>
      <w:spacing w:line="241" w:lineRule="atLeast"/>
    </w:pPr>
    <w:rPr>
      <w:rFonts w:ascii="Akzidenz-Grotesk Std Regular" w:hAnsi="Akzidenz-Grotesk Std Regular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C6D78"/>
    <w:pPr>
      <w:autoSpaceDE w:val="0"/>
      <w:autoSpaceDN w:val="0"/>
      <w:adjustRightInd w:val="0"/>
      <w:spacing w:line="241" w:lineRule="atLeast"/>
    </w:pPr>
    <w:rPr>
      <w:rFonts w:ascii="Akzidenz-Grotesk Std Regular" w:hAnsi="Akzidenz-Grotesk Std Regular"/>
      <w:sz w:val="24"/>
      <w:szCs w:val="24"/>
    </w:rPr>
  </w:style>
  <w:style w:type="character" w:customStyle="1" w:styleId="A5">
    <w:name w:val="A5"/>
    <w:uiPriority w:val="99"/>
    <w:rsid w:val="00FC6D78"/>
    <w:rPr>
      <w:color w:val="6C6E70"/>
      <w:sz w:val="20"/>
    </w:rPr>
  </w:style>
  <w:style w:type="paragraph" w:styleId="ListParagraph">
    <w:name w:val="List Paragraph"/>
    <w:basedOn w:val="Normal"/>
    <w:uiPriority w:val="99"/>
    <w:qFormat/>
    <w:rsid w:val="00F12FBF"/>
    <w:pPr>
      <w:ind w:left="720"/>
      <w:contextualSpacing/>
    </w:pPr>
  </w:style>
  <w:style w:type="paragraph" w:styleId="Revision">
    <w:name w:val="Revision"/>
    <w:hidden/>
    <w:uiPriority w:val="99"/>
    <w:semiHidden/>
    <w:rsid w:val="00F1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30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23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7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redcro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dcros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ellm\Local%20Settings\Temporary%20Internet%20Files\OLK86\New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Settings\havellm\Local Settings\Temporary Internet Files\OLK86\News Release.dot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Mccandless, Meghan</cp:lastModifiedBy>
  <cp:revision>3</cp:revision>
  <cp:lastPrinted>2012-11-28T17:35:00Z</cp:lastPrinted>
  <dcterms:created xsi:type="dcterms:W3CDTF">2022-11-09T20:02:00Z</dcterms:created>
  <dcterms:modified xsi:type="dcterms:W3CDTF">2022-11-14T19:14:00Z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